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343CC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Л</w:t>
      </w:r>
      <w:r>
        <w:rPr>
          <w:rFonts w:ascii="Times New Roman" w:hAnsi="Times New Roman"/>
          <w:sz w:val="24"/>
        </w:rPr>
        <w:t>уначарского, 16</w:t>
      </w:r>
    </w:p>
    <w:p>
      <w:pPr>
        <w:spacing w:after="160"/>
        <w:rPr>
          <w:rFonts w:ascii="Times New Roman" w:hAnsi="Times New Roman"/>
          <w:b w:val="1"/>
          <w:sz w:val="24"/>
          <w:shd w:val="clear" w:fill="FFFFFF"/>
        </w:rPr>
      </w:pPr>
      <w:r>
        <w:rPr>
          <w:rFonts w:ascii="Times New Roman" w:hAnsi="Times New Roman"/>
          <w:b w:val="1"/>
          <w:sz w:val="24"/>
          <w:shd w:val="clear" w:fill="FFFFFF"/>
        </w:rPr>
        <w:t>7 декабря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подвального помещения , дератизация подвального помещения</w:t>
      </w:r>
      <w:r>
        <w:rPr>
          <w:rFonts w:ascii="Times New Roman" w:hAnsi="Times New Roman"/>
          <w:sz w:val="24"/>
        </w:rPr>
        <w:t>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