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1A49649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Перечень работы, выполненных в рамках договоров управления и обслуживания, за период с </w:t>
      </w:r>
      <w:bookmarkStart w:id="0" w:name="_dx_frag_StartFragment"/>
      <w:bookmarkEnd w:id="0"/>
      <w:r>
        <w:rPr>
          <w:rFonts w:ascii="Times New Roman" w:hAnsi="Times New Roman"/>
          <w:sz w:val="24"/>
          <w:shd w:val="clear" w:fill="FFFFFF"/>
        </w:rPr>
        <w:t>28.11-02.12.2022</w:t>
      </w:r>
      <w:r>
        <w:rPr>
          <w:rFonts w:ascii="Times New Roman" w:hAnsi="Times New Roman"/>
          <w:sz w:val="24"/>
        </w:rPr>
        <w:t xml:space="preserve"> г.</w:t>
      </w:r>
    </w:p>
    <w:p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Выполненные работы на </w:t>
      </w:r>
      <w:r>
        <w:rPr>
          <w:rFonts w:ascii="Times New Roman" w:hAnsi="Times New Roman"/>
          <w:sz w:val="24"/>
        </w:rPr>
        <w:t>Беляева, 6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>
        <w:rPr>
          <w:rFonts w:ascii="Times New Roman" w:hAnsi="Times New Roman"/>
          <w:sz w:val="24"/>
        </w:rPr>
        <w:t>роверка параметров теплоносителя – 30.11.2022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</w:t>
      </w:r>
      <w:r>
        <w:rPr>
          <w:rFonts w:ascii="Times New Roman" w:hAnsi="Times New Roman"/>
          <w:sz w:val="24"/>
        </w:rPr>
        <w:t>амена ламп, патрона в подвальном помещении – 25.11.2022</w:t>
      </w:r>
    </w:p>
    <w:p>
      <w:pPr>
        <w:jc w:val="center"/>
        <w:rPr>
          <w:rFonts w:ascii="Times New Roman" w:hAnsi="Times New Roman"/>
          <w:sz w:val="24"/>
        </w:rPr>
      </w:pP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