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5FF50D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работы, выполненных в рамках договоров управления и обслуживания, за период с </w:t>
      </w:r>
      <w:bookmarkStart w:id="0" w:name="_dx_frag_StartFragment"/>
      <w:bookmarkEnd w:id="0"/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  <w:shd w:val="clear" w:fill="FFFFFF"/>
        </w:rPr>
        <w:t>.12-16.12.2022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</w:t>
      </w:r>
      <w:r>
        <w:rPr>
          <w:rFonts w:ascii="Times New Roman" w:hAnsi="Times New Roman"/>
          <w:sz w:val="24"/>
        </w:rPr>
        <w:t>пр. Победы, 109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12.12.22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амена ламп 2,13 эт. , восстановление электрической проводки</w:t>
      </w:r>
      <w:r>
        <w:rPr>
          <w:rFonts w:ascii="Times New Roman" w:hAnsi="Times New Roman"/>
          <w:sz w:val="24"/>
        </w:rPr>
        <w:t>.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